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7E" w:rsidRPr="00ED147E" w:rsidRDefault="00D83DBA" w:rsidP="00ED147E">
      <w:pPr>
        <w:pStyle w:val="BodyText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AGENCY NAME</w:t>
      </w:r>
    </w:p>
    <w:p w:rsidR="00ED147E" w:rsidRPr="00ED147E" w:rsidRDefault="00F80C9F" w:rsidP="00ED147E">
      <w:pPr>
        <w:pStyle w:val="BodyText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Planning for your</w:t>
      </w:r>
      <w:r w:rsidR="00CD6D40">
        <w:rPr>
          <w:b/>
          <w:sz w:val="28"/>
          <w:szCs w:val="24"/>
        </w:rPr>
        <w:t xml:space="preserve"> Appointment with </w:t>
      </w:r>
      <w:proofErr w:type="gramStart"/>
      <w:r w:rsidR="00CD6D40" w:rsidRPr="00CD6D40">
        <w:rPr>
          <w:b/>
          <w:sz w:val="28"/>
          <w:szCs w:val="24"/>
        </w:rPr>
        <w:t>The</w:t>
      </w:r>
      <w:proofErr w:type="gramEnd"/>
      <w:r w:rsidR="00CD6D40" w:rsidRPr="00CD6D40">
        <w:rPr>
          <w:b/>
          <w:sz w:val="28"/>
          <w:szCs w:val="24"/>
        </w:rPr>
        <w:t xml:space="preserve"> Advancement Group</w:t>
      </w:r>
    </w:p>
    <w:p w:rsidR="00ED147E" w:rsidRDefault="00ED147E" w:rsidP="00ED147E">
      <w:pPr>
        <w:pStyle w:val="BodyText"/>
        <w:rPr>
          <w:szCs w:val="24"/>
        </w:rPr>
      </w:pPr>
    </w:p>
    <w:p w:rsidR="00ED147E" w:rsidRDefault="00ED147E" w:rsidP="00ED147E">
      <w:pPr>
        <w:pStyle w:val="BodyText"/>
        <w:spacing w:line="276" w:lineRule="auto"/>
        <w:rPr>
          <w:szCs w:val="24"/>
        </w:rPr>
      </w:pPr>
      <w:r>
        <w:rPr>
          <w:szCs w:val="24"/>
        </w:rPr>
        <w:t>In preparing for your planning appointment, please bring the following information with you to your meeting:</w:t>
      </w:r>
    </w:p>
    <w:p w:rsidR="00ED147E" w:rsidRDefault="00ED147E" w:rsidP="00ED147E">
      <w:pPr>
        <w:pStyle w:val="BodyText"/>
        <w:spacing w:line="276" w:lineRule="auto"/>
        <w:rPr>
          <w:szCs w:val="24"/>
        </w:rPr>
      </w:pPr>
    </w:p>
    <w:p w:rsidR="00ED147E" w:rsidRDefault="00ED147E" w:rsidP="00ED147E">
      <w:pPr>
        <w:pStyle w:val="BodyText"/>
        <w:numPr>
          <w:ilvl w:val="0"/>
          <w:numId w:val="4"/>
        </w:numPr>
        <w:spacing w:line="276" w:lineRule="auto"/>
        <w:rPr>
          <w:szCs w:val="24"/>
        </w:rPr>
      </w:pPr>
      <w:r w:rsidRPr="00ED147E">
        <w:rPr>
          <w:b/>
          <w:szCs w:val="24"/>
        </w:rPr>
        <w:t>Spouse</w:t>
      </w:r>
      <w:r>
        <w:rPr>
          <w:szCs w:val="24"/>
        </w:rPr>
        <w:t xml:space="preserve"> – if you are married, please make sure you both attend the appointment</w:t>
      </w:r>
    </w:p>
    <w:p w:rsidR="00ED147E" w:rsidRDefault="00ED147E" w:rsidP="00ED147E">
      <w:pPr>
        <w:pStyle w:val="BodyText"/>
        <w:numPr>
          <w:ilvl w:val="0"/>
          <w:numId w:val="4"/>
        </w:numPr>
        <w:spacing w:line="276" w:lineRule="auto"/>
        <w:rPr>
          <w:szCs w:val="24"/>
        </w:rPr>
      </w:pPr>
      <w:r w:rsidRPr="00ED147E">
        <w:rPr>
          <w:b/>
          <w:szCs w:val="24"/>
        </w:rPr>
        <w:t>Confidential Data Sheet</w:t>
      </w:r>
      <w:r>
        <w:rPr>
          <w:szCs w:val="24"/>
        </w:rPr>
        <w:t xml:space="preserve"> – please complete as much as possible and bring it with you</w:t>
      </w:r>
    </w:p>
    <w:p w:rsidR="00ED147E" w:rsidRDefault="00ED147E" w:rsidP="00ED147E">
      <w:pPr>
        <w:pStyle w:val="BodyText"/>
        <w:numPr>
          <w:ilvl w:val="0"/>
          <w:numId w:val="4"/>
        </w:numPr>
        <w:spacing w:line="276" w:lineRule="auto"/>
        <w:rPr>
          <w:szCs w:val="24"/>
        </w:rPr>
      </w:pPr>
      <w:r w:rsidRPr="00ED147E">
        <w:rPr>
          <w:b/>
          <w:szCs w:val="24"/>
        </w:rPr>
        <w:t>Existing Wills/Trusts</w:t>
      </w:r>
      <w:r>
        <w:rPr>
          <w:szCs w:val="24"/>
        </w:rPr>
        <w:t xml:space="preserve"> – if you have any existing estate planning documents, such as a will or trust, please bring that with you</w:t>
      </w:r>
    </w:p>
    <w:p w:rsidR="00ED147E" w:rsidRDefault="00ED147E" w:rsidP="00ED147E">
      <w:pPr>
        <w:pStyle w:val="BodyText"/>
        <w:numPr>
          <w:ilvl w:val="0"/>
          <w:numId w:val="4"/>
        </w:numPr>
        <w:spacing w:line="276" w:lineRule="auto"/>
        <w:rPr>
          <w:szCs w:val="24"/>
        </w:rPr>
      </w:pPr>
      <w:r w:rsidRPr="00ED147E">
        <w:rPr>
          <w:b/>
          <w:szCs w:val="24"/>
        </w:rPr>
        <w:t>Copy of Deeds</w:t>
      </w:r>
      <w:r>
        <w:rPr>
          <w:szCs w:val="24"/>
        </w:rPr>
        <w:t xml:space="preserve"> – if you own real property, please bring a copy of the deeds</w:t>
      </w:r>
    </w:p>
    <w:p w:rsidR="00ED147E" w:rsidRDefault="00ED147E" w:rsidP="00ED147E">
      <w:pPr>
        <w:pStyle w:val="BodyText"/>
        <w:numPr>
          <w:ilvl w:val="0"/>
          <w:numId w:val="4"/>
        </w:numPr>
        <w:spacing w:line="276" w:lineRule="auto"/>
        <w:rPr>
          <w:szCs w:val="24"/>
        </w:rPr>
      </w:pPr>
      <w:r w:rsidRPr="00ED147E">
        <w:rPr>
          <w:b/>
          <w:szCs w:val="24"/>
        </w:rPr>
        <w:t>Corporate Books</w:t>
      </w:r>
      <w:r>
        <w:rPr>
          <w:szCs w:val="24"/>
        </w:rPr>
        <w:t xml:space="preserve"> – if you own a business, please bring in your corporate records</w:t>
      </w:r>
    </w:p>
    <w:p w:rsidR="00ED147E" w:rsidRDefault="00ED147E" w:rsidP="00ED147E">
      <w:pPr>
        <w:pStyle w:val="BodyText"/>
        <w:spacing w:line="276" w:lineRule="auto"/>
        <w:rPr>
          <w:szCs w:val="24"/>
        </w:rPr>
      </w:pPr>
    </w:p>
    <w:p w:rsidR="00ED147E" w:rsidRDefault="00ED147E" w:rsidP="00ED147E">
      <w:pPr>
        <w:pStyle w:val="BodyText"/>
        <w:spacing w:line="276" w:lineRule="auto"/>
        <w:rPr>
          <w:szCs w:val="24"/>
        </w:rPr>
      </w:pPr>
      <w:r>
        <w:rPr>
          <w:szCs w:val="24"/>
        </w:rPr>
        <w:t xml:space="preserve">Please bring in anything else that you think is important for the meeting, such as:  divorce decree, copies of investment or retirement account statements, life insurance policies, </w:t>
      </w:r>
      <w:proofErr w:type="spellStart"/>
      <w:r>
        <w:rPr>
          <w:szCs w:val="24"/>
        </w:rPr>
        <w:t>etc</w:t>
      </w:r>
      <w:proofErr w:type="spellEnd"/>
      <w:r>
        <w:rPr>
          <w:szCs w:val="24"/>
        </w:rPr>
        <w:t>…</w:t>
      </w:r>
    </w:p>
    <w:p w:rsidR="00F721B5" w:rsidRDefault="00F721B5" w:rsidP="001D5D86">
      <w:pPr>
        <w:pStyle w:val="BodyText"/>
        <w:spacing w:line="276" w:lineRule="auto"/>
        <w:rPr>
          <w:szCs w:val="24"/>
        </w:rPr>
      </w:pPr>
    </w:p>
    <w:p w:rsidR="00694862" w:rsidRDefault="00F80C9F" w:rsidP="00ED147E">
      <w:pPr>
        <w:pStyle w:val="BodyText"/>
        <w:spacing w:line="276" w:lineRule="auto"/>
        <w:rPr>
          <w:szCs w:val="24"/>
        </w:rPr>
      </w:pPr>
      <w:r>
        <w:rPr>
          <w:szCs w:val="24"/>
        </w:rPr>
        <w:t xml:space="preserve">The process of estate planning, beginning with the planning appointment includes the following sequence – </w:t>
      </w:r>
    </w:p>
    <w:p w:rsidR="00CD6D40" w:rsidRDefault="00CD6D40" w:rsidP="00ED147E">
      <w:pPr>
        <w:pStyle w:val="BodyText"/>
        <w:spacing w:line="276" w:lineRule="auto"/>
        <w:rPr>
          <w:szCs w:val="24"/>
        </w:rPr>
      </w:pPr>
    </w:p>
    <w:p w:rsidR="00CD6D40" w:rsidRPr="00666960" w:rsidRDefault="00CD6D40" w:rsidP="00ED147E">
      <w:pPr>
        <w:pStyle w:val="BodyText"/>
        <w:spacing w:line="276" w:lineRule="auto"/>
        <w:rPr>
          <w:b/>
          <w:szCs w:val="24"/>
        </w:rPr>
      </w:pPr>
      <w:proofErr w:type="gramStart"/>
      <w:r w:rsidRPr="00666960">
        <w:rPr>
          <w:b/>
          <w:szCs w:val="24"/>
        </w:rPr>
        <w:t>If no plan in place…</w:t>
      </w:r>
      <w:proofErr w:type="gramEnd"/>
    </w:p>
    <w:p w:rsidR="00CD6D40" w:rsidRDefault="00CD6D40" w:rsidP="00CD6D40">
      <w:pPr>
        <w:pStyle w:val="BodyText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>TAG will create a visual image (flow chart) of the process of estate planning and financial planning, as it relates to your estate, during your meeting with TAG</w:t>
      </w:r>
      <w:r w:rsidR="00666960">
        <w:rPr>
          <w:szCs w:val="24"/>
        </w:rPr>
        <w:t xml:space="preserve"> (this appointment is free as a result of </w:t>
      </w:r>
      <w:r w:rsidR="00D83DBA">
        <w:rPr>
          <w:szCs w:val="24"/>
        </w:rPr>
        <w:t>AGENCY’S</w:t>
      </w:r>
      <w:r w:rsidR="00666960">
        <w:rPr>
          <w:szCs w:val="24"/>
        </w:rPr>
        <w:t xml:space="preserve"> partnership with TCF)</w:t>
      </w:r>
      <w:r>
        <w:rPr>
          <w:szCs w:val="24"/>
        </w:rPr>
        <w:t>.</w:t>
      </w:r>
    </w:p>
    <w:p w:rsidR="0013645E" w:rsidRPr="0013645E" w:rsidRDefault="0013645E" w:rsidP="00CD6D40">
      <w:pPr>
        <w:pStyle w:val="BodyText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 xml:space="preserve">TAG will </w:t>
      </w:r>
      <w:r w:rsidRPr="0013645E">
        <w:rPr>
          <w:szCs w:val="24"/>
        </w:rPr>
        <w:t xml:space="preserve">focus on your financial and estate planning </w:t>
      </w:r>
      <w:r w:rsidR="007C46B1">
        <w:rPr>
          <w:szCs w:val="24"/>
        </w:rPr>
        <w:t>goals</w:t>
      </w:r>
      <w:r w:rsidRPr="0013645E">
        <w:rPr>
          <w:szCs w:val="24"/>
        </w:rPr>
        <w:t xml:space="preserve"> and integrate philanthropic strategies into your plans </w:t>
      </w:r>
      <w:r w:rsidR="007C46B1">
        <w:rPr>
          <w:szCs w:val="24"/>
        </w:rPr>
        <w:t>considering</w:t>
      </w:r>
      <w:r w:rsidRPr="0013645E">
        <w:rPr>
          <w:szCs w:val="24"/>
        </w:rPr>
        <w:t xml:space="preserve"> family, financial, and philanthropic objectives. </w:t>
      </w:r>
    </w:p>
    <w:p w:rsidR="00CD6D40" w:rsidRDefault="00CD6D40" w:rsidP="00CD6D40">
      <w:pPr>
        <w:pStyle w:val="BodyText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 xml:space="preserve">After the explanation and any subsequent discussion of the plan, TAG will work with you to schedule a time with an attorney, </w:t>
      </w:r>
      <w:r w:rsidR="00666960">
        <w:rPr>
          <w:szCs w:val="24"/>
        </w:rPr>
        <w:t>this</w:t>
      </w:r>
      <w:r>
        <w:rPr>
          <w:szCs w:val="24"/>
        </w:rPr>
        <w:t xml:space="preserve"> is where the drafting of estate planning documents </w:t>
      </w:r>
      <w:r w:rsidR="007C46B1">
        <w:rPr>
          <w:szCs w:val="24"/>
        </w:rPr>
        <w:t>occurs</w:t>
      </w:r>
      <w:r w:rsidR="00666960">
        <w:rPr>
          <w:szCs w:val="24"/>
        </w:rPr>
        <w:t xml:space="preserve"> (and cost is incurred)</w:t>
      </w:r>
      <w:r>
        <w:rPr>
          <w:szCs w:val="24"/>
        </w:rPr>
        <w:t>.</w:t>
      </w:r>
    </w:p>
    <w:p w:rsidR="00CD6D40" w:rsidRPr="0013645E" w:rsidRDefault="00CD6D40" w:rsidP="00CD6D40">
      <w:pPr>
        <w:pStyle w:val="BodyText"/>
        <w:numPr>
          <w:ilvl w:val="0"/>
          <w:numId w:val="5"/>
        </w:numPr>
        <w:spacing w:line="276" w:lineRule="auto"/>
        <w:rPr>
          <w:szCs w:val="24"/>
        </w:rPr>
      </w:pPr>
      <w:r w:rsidRPr="0013645E">
        <w:rPr>
          <w:szCs w:val="24"/>
        </w:rPr>
        <w:t xml:space="preserve">If you have an attorney, TAG will work with them to </w:t>
      </w:r>
      <w:r w:rsidR="0013645E" w:rsidRPr="0013645E">
        <w:rPr>
          <w:szCs w:val="24"/>
        </w:rPr>
        <w:t xml:space="preserve">describe the objectives discussed in the planning appointment, the datasheet, the flowchart, and notes taken from the meeting so </w:t>
      </w:r>
      <w:r w:rsidR="007C46B1">
        <w:rPr>
          <w:szCs w:val="24"/>
        </w:rPr>
        <w:t>they</w:t>
      </w:r>
      <w:r w:rsidR="0013645E" w:rsidRPr="0013645E">
        <w:rPr>
          <w:szCs w:val="24"/>
        </w:rPr>
        <w:t xml:space="preserve"> may prepare your plan.</w:t>
      </w:r>
    </w:p>
    <w:p w:rsidR="00CD6D40" w:rsidRDefault="00CD6D40" w:rsidP="00CD6D40">
      <w:pPr>
        <w:pStyle w:val="BodyText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 xml:space="preserve">If you do not have an attorney that you work with, TAG can recommend one for you and set your appointment with them.  </w:t>
      </w:r>
    </w:p>
    <w:p w:rsidR="00666960" w:rsidRDefault="00666960" w:rsidP="00CD6D40">
      <w:pPr>
        <w:pStyle w:val="BodyText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>You will receive a copy of your flow chart from TAG.</w:t>
      </w:r>
    </w:p>
    <w:p w:rsidR="00CD6D40" w:rsidRDefault="00CD6D40" w:rsidP="00CD6D40">
      <w:pPr>
        <w:pStyle w:val="BodyText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 xml:space="preserve">The attorney will receive a copy of the flow chart (from TAG) and any other supporting </w:t>
      </w:r>
      <w:r w:rsidR="0013645E" w:rsidRPr="0013645E">
        <w:rPr>
          <w:szCs w:val="24"/>
        </w:rPr>
        <w:t xml:space="preserve">information gathered during the planning appointment </w:t>
      </w:r>
      <w:r>
        <w:rPr>
          <w:szCs w:val="24"/>
        </w:rPr>
        <w:t>to be able to create the plan.</w:t>
      </w:r>
    </w:p>
    <w:p w:rsidR="00666960" w:rsidRDefault="00666960" w:rsidP="00CD6D40">
      <w:pPr>
        <w:pStyle w:val="BodyText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>Due to TAG providing a flow chart of your plan, the cost for document execution with the attorney can be reduced up to 60%.</w:t>
      </w:r>
    </w:p>
    <w:p w:rsidR="00666960" w:rsidRDefault="00666960" w:rsidP="00CD6D40">
      <w:pPr>
        <w:pStyle w:val="BodyText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>You will meet with the attorney to sign your estate planning documents and will pay the attorney at the time of signing.</w:t>
      </w:r>
    </w:p>
    <w:p w:rsidR="00666960" w:rsidRDefault="00666960" w:rsidP="00CD6D40">
      <w:pPr>
        <w:pStyle w:val="BodyText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lastRenderedPageBreak/>
        <w:t xml:space="preserve">If a gift has been made to a charity, a copy of the page(s) in the estate plan pertaining to the gift amount is </w:t>
      </w:r>
      <w:r w:rsidR="007C46B1">
        <w:rPr>
          <w:szCs w:val="24"/>
        </w:rPr>
        <w:t>requested</w:t>
      </w:r>
      <w:r>
        <w:rPr>
          <w:szCs w:val="24"/>
        </w:rPr>
        <w:t xml:space="preserve"> by TAG to value and calculate the gift for the </w:t>
      </w:r>
      <w:r w:rsidR="00D83DBA">
        <w:rPr>
          <w:szCs w:val="24"/>
        </w:rPr>
        <w:t>AGENCY NAME gift report</w:t>
      </w:r>
      <w:r>
        <w:rPr>
          <w:szCs w:val="24"/>
        </w:rPr>
        <w:t>.</w:t>
      </w:r>
    </w:p>
    <w:p w:rsidR="00666960" w:rsidRDefault="00666960" w:rsidP="00CD6D40">
      <w:pPr>
        <w:pStyle w:val="BodyText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 xml:space="preserve">The gift and donor name is reported to </w:t>
      </w:r>
      <w:r w:rsidR="00D83DBA">
        <w:rPr>
          <w:szCs w:val="24"/>
        </w:rPr>
        <w:t>AGENCY</w:t>
      </w:r>
      <w:r>
        <w:rPr>
          <w:szCs w:val="24"/>
        </w:rPr>
        <w:t>, if the donor provides permission to release their name and gift amount.</w:t>
      </w:r>
    </w:p>
    <w:p w:rsidR="00666960" w:rsidRDefault="00666960" w:rsidP="00666960">
      <w:pPr>
        <w:pStyle w:val="BodyText"/>
        <w:spacing w:line="276" w:lineRule="auto"/>
        <w:rPr>
          <w:szCs w:val="24"/>
        </w:rPr>
      </w:pPr>
    </w:p>
    <w:p w:rsidR="00694862" w:rsidRPr="00F80C9F" w:rsidRDefault="00666960" w:rsidP="00ED147E">
      <w:pPr>
        <w:rPr>
          <w:b/>
        </w:rPr>
      </w:pPr>
      <w:r w:rsidRPr="00F80C9F">
        <w:rPr>
          <w:b/>
        </w:rPr>
        <w:t>If a plan (will or trust)</w:t>
      </w:r>
      <w:r w:rsidR="00F63670">
        <w:rPr>
          <w:b/>
        </w:rPr>
        <w:t xml:space="preserve"> is</w:t>
      </w:r>
      <w:r w:rsidRPr="00F80C9F">
        <w:rPr>
          <w:b/>
        </w:rPr>
        <w:t xml:space="preserve"> in place…</w:t>
      </w:r>
    </w:p>
    <w:p w:rsidR="00666960" w:rsidRDefault="00666960" w:rsidP="00666960">
      <w:pPr>
        <w:pStyle w:val="ListParagraph"/>
        <w:numPr>
          <w:ilvl w:val="0"/>
          <w:numId w:val="6"/>
        </w:numPr>
      </w:pPr>
      <w:r>
        <w:t>TAG will review the current estate plan and provide a flow chart of how the plan works (first death, second death, chil</w:t>
      </w:r>
      <w:r w:rsidR="00F80C9F">
        <w:t>d/chil</w:t>
      </w:r>
      <w:r>
        <w:t xml:space="preserve">dren, retirement account(s), </w:t>
      </w:r>
      <w:proofErr w:type="spellStart"/>
      <w:r>
        <w:t>etc</w:t>
      </w:r>
      <w:proofErr w:type="spellEnd"/>
      <w:r>
        <w:t>…).  This appointment is free.</w:t>
      </w:r>
    </w:p>
    <w:p w:rsidR="007C46B1" w:rsidRPr="0013645E" w:rsidRDefault="007C46B1" w:rsidP="007C46B1">
      <w:pPr>
        <w:pStyle w:val="BodyText"/>
        <w:numPr>
          <w:ilvl w:val="0"/>
          <w:numId w:val="6"/>
        </w:numPr>
        <w:spacing w:line="276" w:lineRule="auto"/>
        <w:rPr>
          <w:szCs w:val="24"/>
        </w:rPr>
      </w:pPr>
      <w:r>
        <w:rPr>
          <w:szCs w:val="24"/>
        </w:rPr>
        <w:t xml:space="preserve">TAG will </w:t>
      </w:r>
      <w:r w:rsidRPr="0013645E">
        <w:rPr>
          <w:szCs w:val="24"/>
        </w:rPr>
        <w:t xml:space="preserve">focus on your financial and estate planning </w:t>
      </w:r>
      <w:r>
        <w:rPr>
          <w:szCs w:val="24"/>
        </w:rPr>
        <w:t>goals</w:t>
      </w:r>
      <w:r w:rsidRPr="0013645E">
        <w:rPr>
          <w:szCs w:val="24"/>
        </w:rPr>
        <w:t xml:space="preserve"> and integrate philanthropic strategies into your plans </w:t>
      </w:r>
      <w:r>
        <w:rPr>
          <w:szCs w:val="24"/>
        </w:rPr>
        <w:t>considering</w:t>
      </w:r>
      <w:r w:rsidRPr="0013645E">
        <w:rPr>
          <w:szCs w:val="24"/>
        </w:rPr>
        <w:t xml:space="preserve"> family, financial, and philanthropic objectives. </w:t>
      </w:r>
    </w:p>
    <w:p w:rsidR="007C46B1" w:rsidRDefault="007C46B1" w:rsidP="007C46B1">
      <w:pPr>
        <w:pStyle w:val="BodyText"/>
        <w:numPr>
          <w:ilvl w:val="0"/>
          <w:numId w:val="6"/>
        </w:numPr>
        <w:spacing w:line="276" w:lineRule="auto"/>
        <w:rPr>
          <w:szCs w:val="24"/>
        </w:rPr>
      </w:pPr>
      <w:r>
        <w:rPr>
          <w:szCs w:val="24"/>
        </w:rPr>
        <w:t>After the explanation and any subsequent discussion of the plan, TAG will work with you to schedule a time with an attorney, this is where the drafting of estate planning documents occurs (and cost is incurred).</w:t>
      </w:r>
    </w:p>
    <w:p w:rsidR="00F80C9F" w:rsidRDefault="00F80C9F" w:rsidP="007C46B1">
      <w:pPr>
        <w:pStyle w:val="ListParagraph"/>
        <w:numPr>
          <w:ilvl w:val="0"/>
          <w:numId w:val="6"/>
        </w:numPr>
      </w:pPr>
      <w:r w:rsidRPr="00F80C9F">
        <w:rPr>
          <w:b/>
        </w:rPr>
        <w:t>PLEASE REFER TO STEP 4 THROUGH STEP 11 ABOVE FOR THE REST OF THE PROCESS</w:t>
      </w:r>
      <w:r>
        <w:t>.</w:t>
      </w:r>
    </w:p>
    <w:p w:rsidR="00F80C9F" w:rsidRDefault="00F80C9F" w:rsidP="00F80C9F"/>
    <w:p w:rsidR="00666960" w:rsidRPr="00231C67" w:rsidRDefault="00425E1C" w:rsidP="00ED147E">
      <w:r>
        <w:t xml:space="preserve">To schedule your appointment or to find out more about this process and service, please call 918-491-0079 and ask for </w:t>
      </w:r>
      <w:r w:rsidR="00D9340F">
        <w:t xml:space="preserve">Mindy, Debbie, </w:t>
      </w:r>
      <w:r>
        <w:t xml:space="preserve">or Chris.  </w:t>
      </w:r>
    </w:p>
    <w:p w:rsidR="00694862" w:rsidRPr="00231C67" w:rsidRDefault="00694862" w:rsidP="00ED147E"/>
    <w:p w:rsidR="00694862" w:rsidRPr="00231C67" w:rsidRDefault="00694862" w:rsidP="00ED147E"/>
    <w:sectPr w:rsidR="00694862" w:rsidRPr="00231C67" w:rsidSect="00F602D8">
      <w:headerReference w:type="default" r:id="rId11"/>
      <w:footerReference w:type="default" r:id="rId12"/>
      <w:pgSz w:w="12240" w:h="15840" w:code="1"/>
      <w:pgMar w:top="1440" w:right="1440" w:bottom="1440" w:left="1440" w:header="1008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0A" w:rsidRDefault="0031740A">
      <w:r>
        <w:separator/>
      </w:r>
    </w:p>
  </w:endnote>
  <w:endnote w:type="continuationSeparator" w:id="0">
    <w:p w:rsidR="0031740A" w:rsidRDefault="0031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7E" w:rsidRDefault="00ED147E">
    <w:pPr>
      <w:ind w:right="360"/>
      <w:rPr>
        <w:b/>
        <w:sz w:val="16"/>
      </w:rPr>
    </w:pPr>
  </w:p>
  <w:p w:rsidR="00ED147E" w:rsidRPr="00231C67" w:rsidRDefault="00ED147E" w:rsidP="00231C67">
    <w:pPr>
      <w:ind w:right="360"/>
      <w:rPr>
        <w:b/>
        <w:color w:val="A6A6A6" w:themeColor="background1" w:themeShade="A6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0A" w:rsidRDefault="0031740A">
      <w:r>
        <w:separator/>
      </w:r>
    </w:p>
  </w:footnote>
  <w:footnote w:type="continuationSeparator" w:id="0">
    <w:p w:rsidR="0031740A" w:rsidRDefault="00317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7E" w:rsidRPr="00F602D8" w:rsidRDefault="00D83DBA" w:rsidP="00F602D8">
    <w:pPr>
      <w:tabs>
        <w:tab w:val="center" w:pos="4320"/>
        <w:tab w:val="right" w:pos="8640"/>
      </w:tabs>
      <w:jc w:val="right"/>
      <w:rPr>
        <w:color w:val="BFBFBF"/>
        <w:sz w:val="16"/>
        <w:szCs w:val="20"/>
      </w:rPr>
    </w:pPr>
    <w:r>
      <w:rPr>
        <w:color w:val="BFBFBF"/>
        <w:sz w:val="16"/>
        <w:szCs w:val="20"/>
      </w:rPr>
      <w:t>AGENCY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6BCE"/>
    <w:multiLevelType w:val="hybridMultilevel"/>
    <w:tmpl w:val="0B14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22A1"/>
    <w:multiLevelType w:val="hybridMultilevel"/>
    <w:tmpl w:val="6F744F5C"/>
    <w:lvl w:ilvl="0" w:tplc="ACD0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D42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C44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327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49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6A57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A47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64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900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10E3F"/>
    <w:multiLevelType w:val="hybridMultilevel"/>
    <w:tmpl w:val="58A665A2"/>
    <w:lvl w:ilvl="0" w:tplc="A936EBE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2"/>
      </w:rPr>
    </w:lvl>
    <w:lvl w:ilvl="1" w:tplc="83C00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E8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E5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A0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A2C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2C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03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0EA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442368"/>
    <w:multiLevelType w:val="hybridMultilevel"/>
    <w:tmpl w:val="20106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16AF5"/>
    <w:multiLevelType w:val="singleLevel"/>
    <w:tmpl w:val="993406C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2"/>
      </w:rPr>
    </w:lvl>
  </w:abstractNum>
  <w:abstractNum w:abstractNumId="5">
    <w:nsid w:val="769A48FC"/>
    <w:multiLevelType w:val="hybridMultilevel"/>
    <w:tmpl w:val="6334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9A"/>
    <w:rsid w:val="00042F68"/>
    <w:rsid w:val="0013645E"/>
    <w:rsid w:val="001D5D86"/>
    <w:rsid w:val="00231C67"/>
    <w:rsid w:val="002B5B5B"/>
    <w:rsid w:val="002E7A5E"/>
    <w:rsid w:val="0031740A"/>
    <w:rsid w:val="00396893"/>
    <w:rsid w:val="003E7864"/>
    <w:rsid w:val="00425E1C"/>
    <w:rsid w:val="00563A9A"/>
    <w:rsid w:val="00666960"/>
    <w:rsid w:val="00676D05"/>
    <w:rsid w:val="00694862"/>
    <w:rsid w:val="007C46B1"/>
    <w:rsid w:val="00974557"/>
    <w:rsid w:val="009F1D82"/>
    <w:rsid w:val="00CD6D40"/>
    <w:rsid w:val="00D33DDB"/>
    <w:rsid w:val="00D83DBA"/>
    <w:rsid w:val="00D9340F"/>
    <w:rsid w:val="00E609CD"/>
    <w:rsid w:val="00ED147E"/>
    <w:rsid w:val="00F602D8"/>
    <w:rsid w:val="00F63670"/>
    <w:rsid w:val="00F721B5"/>
    <w:rsid w:val="00F80C9F"/>
    <w:rsid w:val="00F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7E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cs="Times New Roman"/>
      <w:szCs w:val="20"/>
    </w:rPr>
  </w:style>
  <w:style w:type="paragraph" w:styleId="ListParagraph">
    <w:name w:val="List Paragraph"/>
    <w:basedOn w:val="Normal"/>
    <w:uiPriority w:val="34"/>
    <w:qFormat/>
    <w:rsid w:val="00666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cs="Times New Roman"/>
      <w:szCs w:val="20"/>
    </w:rPr>
  </w:style>
  <w:style w:type="paragraph" w:styleId="ListParagraph">
    <w:name w:val="List Paragraph"/>
    <w:basedOn w:val="Normal"/>
    <w:uiPriority w:val="34"/>
    <w:qFormat/>
    <w:rsid w:val="0066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E760AFAB5349B1449163054C4ECE" ma:contentTypeVersion="9" ma:contentTypeDescription="Create a new document." ma:contentTypeScope="" ma:versionID="628d9d2ae2221553ad9e36e91e994847">
  <xsd:schema xmlns:xsd="http://www.w3.org/2001/XMLSchema" xmlns:xs="http://www.w3.org/2001/XMLSchema" xmlns:p="http://schemas.microsoft.com/office/2006/metadata/properties" xmlns:ns2="7e3773a9-738f-4e2c-baab-6bee7bd5b288" targetNamespace="http://schemas.microsoft.com/office/2006/metadata/properties" ma:root="true" ma:fieldsID="cf14674238100057c26e635f474dd7a1" ns2:_="">
    <xsd:import namespace="7e3773a9-738f-4e2c-baab-6bee7bd5b2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773a9-738f-4e2c-baab-6bee7bd5b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A2D1C-C99C-46BE-A3A8-EA0DACF5C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47990-7F64-4523-A964-E96DB1FEA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0A078-26BB-41BB-88AF-D0A1A38C3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773a9-738f-4e2c-baab-6bee7bd5b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Advancement Group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Greg and Tracy A. Pittman</dc:creator>
  <cp:lastModifiedBy>Molly</cp:lastModifiedBy>
  <cp:revision>1</cp:revision>
  <dcterms:created xsi:type="dcterms:W3CDTF">2016-06-02T13:40:00Z</dcterms:created>
  <dcterms:modified xsi:type="dcterms:W3CDTF">2016-06-02T13:40:00Z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0x010100C9A3E760AFAB5349B1449163054C4ECE</vt:lpwstr>
  </property>
  <property fmtid="{D5CDD505-2E9C-101B-9397-08002B2CF9AE}" pid="3" name="Year">
    <vt:lpwstr>2013</vt:lpwstr>
  </property>
  <property fmtid="{D5CDD505-2E9C-101B-9397-08002B2CF9AE}" pid="4" name="Program">
    <vt:lpwstr>Administration</vt:lpwstr>
  </property>
</Properties>
</file>